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…………………………………………………………………………………………………………………………………………….………………….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Adres zamieszkania: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</w:t>
      </w:r>
      <w:r>
        <w:rPr>
          <w:rFonts w:cs="Calibri" w:cstheme="minorHAnsi"/>
          <w:sz w:val="24"/>
          <w:szCs w:val="24"/>
        </w:rPr>
        <w:t>..…………………………………………………………………………………….…………………………………..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Telefon: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E-mail: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</w:t>
      </w:r>
      <w:r>
        <w:rPr>
          <w:rFonts w:cs="Calibri" w:cstheme="minorHAnsi"/>
          <w:sz w:val="24"/>
          <w:szCs w:val="24"/>
        </w:rPr>
        <w:t>.…………………………………………………………………………………………………………….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Data urodzenia: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</w:t>
      </w:r>
      <w:r>
        <w:rPr>
          <w:rFonts w:cs="Calibri" w:cstheme="minorHAnsi"/>
          <w:sz w:val="24"/>
          <w:szCs w:val="24"/>
        </w:rPr>
        <w:t>.………………………………………………………………………………………..…………………………..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Imię i nazwisko: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</w:t>
      </w:r>
      <w:r>
        <w:rPr>
          <w:rFonts w:cs="Calibri" w:cstheme="minorHAnsi"/>
          <w:sz w:val="24"/>
          <w:szCs w:val="24"/>
        </w:rPr>
        <w:t>..…………………………………….……………….…………………………………………………………….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Data urodzenia: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</w:t>
      </w:r>
      <w:r>
        <w:rPr>
          <w:rFonts w:cs="Calibri" w:cstheme="minorHAnsi"/>
          <w:sz w:val="24"/>
          <w:szCs w:val="24"/>
        </w:rPr>
        <w:t>.………………………………………………………………………………………….………………………...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Adres zamieszkania: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</w:t>
      </w:r>
      <w:r>
        <w:rPr>
          <w:rFonts w:cs="Calibri" w:cstheme="minorHAnsi"/>
          <w:sz w:val="24"/>
          <w:szCs w:val="24"/>
        </w:rPr>
        <w:t>..………………………………………………………………………………………...………………………………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66494017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16912828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20703355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1948849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7800799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:id w:val="402715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21296611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982188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21241402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329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365680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…………………………………………………………………………………………………………………………………………………….…….………...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248300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w dniach 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</w:t>
      </w:r>
      <w:r>
        <w:rPr>
          <w:rFonts w:cs="Calibri" w:cstheme="minorHAnsi"/>
          <w:sz w:val="24"/>
          <w:szCs w:val="24"/>
        </w:rPr>
        <w:t>.…………………………………………………………………………………………………………………………….………………..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val="000000" w:themeColor="text1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/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276" w:before="0" w:after="0"/>
        <w:rPr/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276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rPr/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276" w:before="0" w:after="240"/>
        <w:rPr/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placeholder>
        <w:docPart w:val="4AAB6E4352404F82BB9C22A83450FF5D"/>
      </w:placeholder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Wyrnienie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LibreOffice/7.5.0.3$Windows_X86_64 LibreOffice_project/c21113d003cd3efa8c53188764377a8272d9d6de</Application>
  <AppVersion>15.0000</AppVersion>
  <Pages>5</Pages>
  <Words>1100</Words>
  <Characters>8195</Characters>
  <CharactersWithSpaces>9206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/>
  <cp:lastPrinted>2025-01-28T09:20:51Z</cp:lastPrinted>
  <dcterms:modified xsi:type="dcterms:W3CDTF">2025-01-28T09:20:59Z</dcterms:modified>
  <cp:revision>15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